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sidR="00D83145">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087DF5" w:rsidRPr="00877225">
        <w:rPr>
          <w:rFonts w:cs="Arial"/>
          <w:bCs/>
          <w:sz w:val="24"/>
          <w:szCs w:val="24"/>
        </w:rPr>
        <w:t>R1-165258</w:t>
      </w:r>
      <w:bookmarkStart w:id="2" w:name="_GoBack"/>
      <w:bookmarkEnd w:id="2"/>
    </w:p>
    <w:p w:rsidR="00D83145" w:rsidRPr="00226CA3" w:rsidRDefault="00D83145" w:rsidP="00D83145">
      <w:pPr>
        <w:pStyle w:val="Header"/>
        <w:rPr>
          <w:rFonts w:eastAsia="MS Mincho" w:cs="Arial"/>
          <w:bCs/>
          <w:sz w:val="24"/>
          <w:szCs w:val="24"/>
          <w:lang w:val="en-US" w:eastAsia="ja-JP"/>
        </w:rPr>
      </w:pPr>
      <w:r w:rsidRPr="003905E3">
        <w:rPr>
          <w:rFonts w:eastAsia="MS Mincho" w:cs="Arial"/>
          <w:bCs/>
          <w:sz w:val="24"/>
          <w:szCs w:val="24"/>
          <w:lang w:val="en-US" w:eastAsia="ja-JP"/>
        </w:rPr>
        <w:t>Nanjing</w:t>
      </w:r>
      <w:r w:rsidRPr="00226CA3">
        <w:rPr>
          <w:rFonts w:eastAsia="MS Mincho" w:cs="Arial"/>
          <w:bCs/>
          <w:sz w:val="24"/>
          <w:szCs w:val="24"/>
          <w:lang w:val="en-US" w:eastAsia="ja-JP"/>
        </w:rPr>
        <w:t xml:space="preserve">, </w:t>
      </w:r>
      <w:r w:rsidR="00087DF5">
        <w:rPr>
          <w:rFonts w:eastAsia="MS Mincho" w:cs="Arial"/>
          <w:bCs/>
          <w:sz w:val="24"/>
          <w:szCs w:val="24"/>
          <w:lang w:val="en-US" w:eastAsia="ja-JP"/>
        </w:rPr>
        <w:t xml:space="preserve">PRC, </w:t>
      </w:r>
      <w:r w:rsidRPr="003905E3">
        <w:rPr>
          <w:rFonts w:eastAsia="MS Mincho" w:cs="Arial"/>
          <w:bCs/>
          <w:sz w:val="24"/>
          <w:szCs w:val="24"/>
          <w:lang w:val="en-US" w:eastAsia="ja-JP"/>
        </w:rPr>
        <w:t>23 - 27 May 2016</w:t>
      </w:r>
    </w:p>
    <w:p w:rsidR="00005DBD" w:rsidRPr="00226CA3" w:rsidRDefault="00005DBD" w:rsidP="00005DBD">
      <w:pPr>
        <w:pStyle w:val="FootnoteText"/>
        <w:rPr>
          <w:lang w:val="en-US"/>
        </w:rPr>
      </w:pPr>
    </w:p>
    <w:p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6A1D87">
        <w:rPr>
          <w:sz w:val="22"/>
          <w:szCs w:val="22"/>
          <w:lang w:val="en-US"/>
        </w:rPr>
        <w:t>Geo-Info</w:t>
      </w:r>
      <w:r w:rsidR="00D83145">
        <w:rPr>
          <w:sz w:val="22"/>
          <w:szCs w:val="22"/>
          <w:lang w:val="en-US"/>
        </w:rPr>
        <w:t xml:space="preserve"> reporting to </w:t>
      </w:r>
      <w:proofErr w:type="spellStart"/>
      <w:r w:rsidR="00D83145">
        <w:rPr>
          <w:sz w:val="22"/>
          <w:szCs w:val="22"/>
          <w:lang w:val="en-US"/>
        </w:rPr>
        <w:t>eNB</w:t>
      </w:r>
      <w:proofErr w:type="spellEnd"/>
    </w:p>
    <w:p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087DF5" w:rsidRPr="00087DF5">
        <w:rPr>
          <w:sz w:val="22"/>
          <w:szCs w:val="22"/>
          <w:lang w:val="en-US"/>
        </w:rPr>
        <w:t>6.2.2.3.2</w:t>
      </w:r>
    </w:p>
    <w:p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rsidR="00D77223" w:rsidRDefault="00D77223" w:rsidP="008A63F4">
      <w:pPr>
        <w:pStyle w:val="Heading1"/>
      </w:pPr>
      <w:r w:rsidRPr="007F1723">
        <w:t>Introduction</w:t>
      </w:r>
    </w:p>
    <w:p w:rsidR="00E57705" w:rsidRPr="007C1A58" w:rsidRDefault="00301800" w:rsidP="005360AD">
      <w:pPr>
        <w:pStyle w:val="BodyText"/>
        <w:spacing w:after="240"/>
        <w:jc w:val="both"/>
        <w:rPr>
          <w:sz w:val="20"/>
          <w:szCs w:val="20"/>
        </w:rPr>
      </w:pPr>
      <w:r w:rsidRPr="007C1A58">
        <w:rPr>
          <w:sz w:val="20"/>
          <w:szCs w:val="20"/>
        </w:rPr>
        <w:t xml:space="preserve">In this paper we discuss </w:t>
      </w:r>
      <w:r w:rsidR="00087DF5">
        <w:rPr>
          <w:sz w:val="20"/>
          <w:szCs w:val="20"/>
        </w:rPr>
        <w:t xml:space="preserve">the protocol for reporting geo-info to the </w:t>
      </w:r>
      <w:proofErr w:type="spellStart"/>
      <w:r w:rsidR="00087DF5">
        <w:rPr>
          <w:sz w:val="20"/>
          <w:szCs w:val="20"/>
        </w:rPr>
        <w:t>eNB</w:t>
      </w:r>
      <w:proofErr w:type="spellEnd"/>
      <w:proofErr w:type="gramStart"/>
      <w:r w:rsidR="00087DF5">
        <w:rPr>
          <w:sz w:val="20"/>
          <w:szCs w:val="20"/>
        </w:rPr>
        <w:t>.</w:t>
      </w:r>
      <w:r w:rsidRPr="007C1A58">
        <w:rPr>
          <w:sz w:val="20"/>
          <w:szCs w:val="20"/>
        </w:rPr>
        <w:t>.</w:t>
      </w:r>
      <w:proofErr w:type="gramEnd"/>
    </w:p>
    <w:p w:rsidR="00F964C3" w:rsidRDefault="00F964C3" w:rsidP="00706C19">
      <w:pPr>
        <w:pStyle w:val="Heading1"/>
      </w:pPr>
      <w:r>
        <w:t xml:space="preserve">Report </w:t>
      </w:r>
      <w:r w:rsidR="001E0AB4">
        <w:t xml:space="preserve">of geo-location </w:t>
      </w:r>
      <w:r>
        <w:t xml:space="preserve">to </w:t>
      </w:r>
      <w:r w:rsidR="001E0AB4">
        <w:t xml:space="preserve">the </w:t>
      </w:r>
      <w:proofErr w:type="spellStart"/>
      <w:r>
        <w:t>eNB</w:t>
      </w:r>
      <w:proofErr w:type="spellEnd"/>
    </w:p>
    <w:p w:rsidR="00CB227F" w:rsidRPr="00CB227F" w:rsidRDefault="003A1CBA" w:rsidP="00CB227F">
      <w:pPr>
        <w:jc w:val="both"/>
      </w:pPr>
      <w:r>
        <w:t xml:space="preserve">Geo-location of each UE is a crucial input for the centralized resource allocation at the </w:t>
      </w:r>
      <w:proofErr w:type="spellStart"/>
      <w:r>
        <w:t>eNB</w:t>
      </w:r>
      <w:proofErr w:type="spellEnd"/>
      <w:r>
        <w:t xml:space="preserve">, and therefore should be reported. </w:t>
      </w:r>
      <w:r w:rsidR="00CB227F" w:rsidRPr="00CB227F">
        <w:t xml:space="preserve">It is important to have an efficient mechanism for reporting geo-information, especially one that minimizes network resources on the </w:t>
      </w:r>
      <w:proofErr w:type="spellStart"/>
      <w:r w:rsidR="00CB227F" w:rsidRPr="00CB227F">
        <w:t>Uu</w:t>
      </w:r>
      <w:proofErr w:type="spellEnd"/>
      <w:r w:rsidR="00CB227F" w:rsidRPr="00CB227F">
        <w:t xml:space="preserve"> interface. A full coordinates report with about 5m resolution uses 47 bits [36.355] for the coordinates part and is obviously redundant considering that UEs are confined within a cell when reporting to an </w:t>
      </w:r>
      <w:proofErr w:type="spellStart"/>
      <w:r w:rsidR="00CB227F" w:rsidRPr="00CB227F">
        <w:t>eNB</w:t>
      </w:r>
      <w:proofErr w:type="spellEnd"/>
      <w:r w:rsidR="00CB227F" w:rsidRPr="00CB227F">
        <w:t>.</w:t>
      </w:r>
      <w:r w:rsidR="009A4524">
        <w:t xml:space="preserve"> Results in the Appendix show </w:t>
      </w:r>
      <w:proofErr w:type="gramStart"/>
      <w:r w:rsidR="009A4524">
        <w:t>that</w:t>
      </w:r>
      <w:proofErr w:type="gramEnd"/>
      <w:r w:rsidR="009A4524">
        <w:t xml:space="preserve"> the 5m resolution is sufficient for the purpose of good centralized resource allocation.</w:t>
      </w:r>
    </w:p>
    <w:p w:rsidR="00CB227F" w:rsidRPr="00CB227F" w:rsidRDefault="00CB227F" w:rsidP="00CB227F">
      <w:pPr>
        <w:jc w:val="both"/>
      </w:pPr>
      <w:r w:rsidRPr="00CB227F">
        <w:t xml:space="preserve">One way to </w:t>
      </w:r>
      <w:r w:rsidR="003A1CBA">
        <w:t>reduce the size of the report</w:t>
      </w:r>
      <w:r w:rsidRPr="00CB227F">
        <w:t xml:space="preserve"> is to have the </w:t>
      </w:r>
      <w:proofErr w:type="spellStart"/>
      <w:r w:rsidRPr="00CB227F">
        <w:t>eNB</w:t>
      </w:r>
      <w:proofErr w:type="spellEnd"/>
      <w:r w:rsidRPr="00CB227F">
        <w:t xml:space="preserve"> advertise a single reference position to the UEs</w:t>
      </w:r>
      <w:r w:rsidR="009A4524">
        <w:t xml:space="preserve"> and having the UE reporting their relative position compared to the reference position</w:t>
      </w:r>
      <w:r w:rsidRPr="00CB227F">
        <w:t>.</w:t>
      </w:r>
      <w:r w:rsidR="009A4524">
        <w:t xml:space="preserve"> In this way quantization over a surface in the order of magnitude of a cell is sufficient and the report size can be approximately halved. </w:t>
      </w:r>
      <w:r w:rsidRPr="00CB227F">
        <w:t>Based on the above discussion we propose the following:</w:t>
      </w:r>
    </w:p>
    <w:p w:rsidR="00CB227F" w:rsidRPr="00CB227F" w:rsidRDefault="00CB227F" w:rsidP="00CB227F">
      <w:pPr>
        <w:rPr>
          <w:b/>
          <w:i/>
        </w:rPr>
      </w:pPr>
      <w:r w:rsidRPr="00CB227F">
        <w:rPr>
          <w:b/>
          <w:i/>
        </w:rPr>
        <w:t xml:space="preserve">Proposal: </w:t>
      </w:r>
    </w:p>
    <w:p w:rsidR="00CB227F" w:rsidRPr="00CB227F" w:rsidRDefault="00CB227F" w:rsidP="00877225">
      <w:pPr>
        <w:pStyle w:val="BodyText"/>
        <w:numPr>
          <w:ilvl w:val="0"/>
          <w:numId w:val="32"/>
        </w:numPr>
        <w:spacing w:after="240"/>
        <w:jc w:val="both"/>
        <w:rPr>
          <w:b/>
          <w:i/>
          <w:spacing w:val="2"/>
          <w:sz w:val="20"/>
          <w:szCs w:val="20"/>
        </w:rPr>
      </w:pPr>
      <w:bookmarkStart w:id="4" w:name="_Toc447025115"/>
      <w:bookmarkStart w:id="5" w:name="_Toc447025095"/>
      <w:bookmarkStart w:id="6" w:name="_Toc447024132"/>
      <w:r w:rsidRPr="00CB227F">
        <w:rPr>
          <w:b/>
          <w:i/>
          <w:spacing w:val="2"/>
          <w:sz w:val="20"/>
          <w:szCs w:val="20"/>
        </w:rPr>
        <w:t xml:space="preserve">In order to minimize the size of the geographical report, the UE encodes its position with respect to a reference position advertised by the </w:t>
      </w:r>
      <w:proofErr w:type="spellStart"/>
      <w:r w:rsidRPr="00CB227F">
        <w:rPr>
          <w:b/>
          <w:i/>
          <w:spacing w:val="2"/>
          <w:sz w:val="20"/>
          <w:szCs w:val="20"/>
        </w:rPr>
        <w:t>eNB</w:t>
      </w:r>
      <w:proofErr w:type="spellEnd"/>
      <w:r w:rsidRPr="00CB227F">
        <w:rPr>
          <w:b/>
          <w:i/>
          <w:spacing w:val="2"/>
          <w:sz w:val="20"/>
          <w:szCs w:val="20"/>
        </w:rPr>
        <w:t>.</w:t>
      </w:r>
      <w:bookmarkEnd w:id="4"/>
      <w:bookmarkEnd w:id="5"/>
      <w:bookmarkEnd w:id="6"/>
    </w:p>
    <w:p w:rsidR="00706C19" w:rsidRPr="00744368" w:rsidRDefault="00706C19" w:rsidP="00706C19">
      <w:pPr>
        <w:pStyle w:val="Heading1"/>
      </w:pPr>
      <w:r w:rsidRPr="00744368">
        <w:t xml:space="preserve">Conclusion </w:t>
      </w:r>
    </w:p>
    <w:p w:rsidR="00706C19" w:rsidRPr="007F0C20" w:rsidRDefault="00706C19" w:rsidP="00706C19">
      <w:pPr>
        <w:pStyle w:val="BodyText"/>
        <w:spacing w:after="240"/>
        <w:jc w:val="both"/>
        <w:rPr>
          <w:spacing w:val="2"/>
          <w:sz w:val="20"/>
          <w:szCs w:val="20"/>
        </w:rPr>
      </w:pPr>
      <w:r w:rsidRPr="007F0C20">
        <w:rPr>
          <w:spacing w:val="2"/>
          <w:sz w:val="20"/>
          <w:szCs w:val="20"/>
        </w:rPr>
        <w:t xml:space="preserve">In this contribution we discuss </w:t>
      </w:r>
      <w:r w:rsidR="007F0C20" w:rsidRPr="007F0C20">
        <w:rPr>
          <w:spacing w:val="2"/>
          <w:sz w:val="20"/>
          <w:szCs w:val="20"/>
        </w:rPr>
        <w:t xml:space="preserve">reporting of geo-information to the </w:t>
      </w:r>
      <w:proofErr w:type="spellStart"/>
      <w:r w:rsidR="007F0C20" w:rsidRPr="007F0C20">
        <w:rPr>
          <w:spacing w:val="2"/>
          <w:sz w:val="20"/>
          <w:szCs w:val="20"/>
        </w:rPr>
        <w:t>eNB</w:t>
      </w:r>
      <w:proofErr w:type="spellEnd"/>
      <w:r w:rsidR="007F0C20" w:rsidRPr="007F0C20">
        <w:rPr>
          <w:spacing w:val="2"/>
          <w:sz w:val="20"/>
          <w:szCs w:val="20"/>
        </w:rPr>
        <w:t>.</w:t>
      </w:r>
    </w:p>
    <w:p w:rsidR="008C2E5F" w:rsidRPr="00CB227F" w:rsidRDefault="008C2E5F" w:rsidP="008C2E5F">
      <w:pPr>
        <w:rPr>
          <w:b/>
          <w:i/>
        </w:rPr>
      </w:pPr>
      <w:r w:rsidRPr="00CB227F">
        <w:rPr>
          <w:b/>
          <w:i/>
        </w:rPr>
        <w:t xml:space="preserve">Proposal: </w:t>
      </w:r>
    </w:p>
    <w:p w:rsidR="00706C19" w:rsidRDefault="008C2E5F" w:rsidP="00CC0771">
      <w:pPr>
        <w:pStyle w:val="BodyText"/>
        <w:numPr>
          <w:ilvl w:val="0"/>
          <w:numId w:val="33"/>
        </w:numPr>
        <w:spacing w:after="240"/>
        <w:jc w:val="both"/>
        <w:rPr>
          <w:b/>
          <w:i/>
          <w:spacing w:val="2"/>
          <w:sz w:val="20"/>
          <w:szCs w:val="20"/>
        </w:rPr>
      </w:pPr>
      <w:r w:rsidRPr="00CB227F">
        <w:rPr>
          <w:b/>
          <w:i/>
          <w:spacing w:val="2"/>
          <w:sz w:val="20"/>
          <w:szCs w:val="20"/>
        </w:rPr>
        <w:t xml:space="preserve">In order to minimize the size of the geographical report, the UE encodes its position with respect to a reference position advertised by the </w:t>
      </w:r>
      <w:proofErr w:type="spellStart"/>
      <w:r w:rsidRPr="00CB227F">
        <w:rPr>
          <w:b/>
          <w:i/>
          <w:spacing w:val="2"/>
          <w:sz w:val="20"/>
          <w:szCs w:val="20"/>
        </w:rPr>
        <w:t>eNB</w:t>
      </w:r>
      <w:proofErr w:type="spellEnd"/>
      <w:r w:rsidRPr="00CB227F">
        <w:rPr>
          <w:b/>
          <w:i/>
          <w:spacing w:val="2"/>
          <w:sz w:val="20"/>
          <w:szCs w:val="20"/>
        </w:rPr>
        <w:t>.</w:t>
      </w:r>
    </w:p>
    <w:p w:rsidR="00877225" w:rsidRPr="00877225" w:rsidRDefault="00877225" w:rsidP="00877225">
      <w:pPr>
        <w:pStyle w:val="BodyText"/>
        <w:spacing w:after="240"/>
        <w:ind w:left="644"/>
        <w:jc w:val="both"/>
        <w:rPr>
          <w:b/>
          <w:i/>
          <w:spacing w:val="2"/>
          <w:sz w:val="20"/>
          <w:szCs w:val="20"/>
        </w:rPr>
      </w:pPr>
    </w:p>
    <w:p w:rsidR="008C700C" w:rsidRDefault="008C700C" w:rsidP="008C700C">
      <w:pPr>
        <w:pStyle w:val="Heading1"/>
      </w:pPr>
      <w:r>
        <w:t>Appendix: Impact of imperfect geo-info on the performance of centralized resource allocation</w:t>
      </w:r>
    </w:p>
    <w:p w:rsidR="008C700C" w:rsidRDefault="008C700C" w:rsidP="008C700C">
      <w:pPr>
        <w:pStyle w:val="BodyText"/>
        <w:spacing w:after="240"/>
        <w:jc w:val="both"/>
        <w:rPr>
          <w:sz w:val="22"/>
          <w:szCs w:val="22"/>
        </w:rPr>
      </w:pPr>
      <w:r w:rsidRPr="00476969">
        <w:rPr>
          <w:sz w:val="22"/>
          <w:szCs w:val="22"/>
        </w:rPr>
        <w:t xml:space="preserve">In centralized resource allocation the </w:t>
      </w:r>
      <w:proofErr w:type="spellStart"/>
      <w:r w:rsidRPr="00476969">
        <w:rPr>
          <w:sz w:val="22"/>
          <w:szCs w:val="22"/>
        </w:rPr>
        <w:t>eNB</w:t>
      </w:r>
      <w:proofErr w:type="spellEnd"/>
      <w:r w:rsidRPr="00476969">
        <w:rPr>
          <w:sz w:val="22"/>
          <w:szCs w:val="22"/>
        </w:rPr>
        <w:t xml:space="preserve"> may </w:t>
      </w:r>
      <w:r>
        <w:rPr>
          <w:sz w:val="22"/>
          <w:szCs w:val="22"/>
        </w:rPr>
        <w:t xml:space="preserve">not have accurate </w:t>
      </w:r>
      <w:r w:rsidRPr="00476969">
        <w:rPr>
          <w:sz w:val="22"/>
          <w:szCs w:val="22"/>
        </w:rPr>
        <w:t>information about UEs</w:t>
      </w:r>
      <w:r>
        <w:rPr>
          <w:sz w:val="22"/>
          <w:szCs w:val="22"/>
        </w:rPr>
        <w:t>’ geo-location when performing resource allocation, due to the following reasons:</w:t>
      </w:r>
    </w:p>
    <w:p w:rsidR="008C700C" w:rsidRDefault="008C700C" w:rsidP="008C700C">
      <w:pPr>
        <w:pStyle w:val="BodyText"/>
        <w:numPr>
          <w:ilvl w:val="0"/>
          <w:numId w:val="31"/>
        </w:numPr>
        <w:spacing w:after="240"/>
        <w:jc w:val="both"/>
        <w:rPr>
          <w:sz w:val="22"/>
          <w:szCs w:val="22"/>
        </w:rPr>
      </w:pPr>
      <w:r>
        <w:rPr>
          <w:sz w:val="22"/>
          <w:szCs w:val="22"/>
        </w:rPr>
        <w:t>Reports from UE is outdated, due to processing and propagation delay the devices and network</w:t>
      </w:r>
    </w:p>
    <w:p w:rsidR="008C700C" w:rsidRPr="00476969" w:rsidRDefault="008C700C" w:rsidP="008C700C">
      <w:pPr>
        <w:pStyle w:val="BodyText"/>
        <w:numPr>
          <w:ilvl w:val="0"/>
          <w:numId w:val="31"/>
        </w:numPr>
        <w:spacing w:after="240"/>
        <w:jc w:val="both"/>
        <w:rPr>
          <w:sz w:val="22"/>
          <w:szCs w:val="22"/>
        </w:rPr>
      </w:pPr>
      <w:r>
        <w:rPr>
          <w:sz w:val="22"/>
          <w:szCs w:val="22"/>
        </w:rPr>
        <w:t>The reports are not perfect, e.g., due to quantization error, measurement noise.</w:t>
      </w:r>
    </w:p>
    <w:p w:rsidR="008C700C" w:rsidRDefault="008C700C" w:rsidP="008C700C">
      <w:pPr>
        <w:pStyle w:val="BodyText"/>
        <w:spacing w:after="240"/>
        <w:jc w:val="both"/>
        <w:rPr>
          <w:spacing w:val="2"/>
          <w:sz w:val="22"/>
          <w:szCs w:val="22"/>
        </w:rPr>
      </w:pPr>
      <w:r>
        <w:rPr>
          <w:spacing w:val="2"/>
          <w:sz w:val="22"/>
          <w:szCs w:val="22"/>
        </w:rPr>
        <w:t>To evaluate its impact, we</w:t>
      </w:r>
      <w:r w:rsidRPr="003D2072">
        <w:rPr>
          <w:spacing w:val="2"/>
          <w:sz w:val="22"/>
          <w:szCs w:val="22"/>
        </w:rPr>
        <w:t xml:space="preserve"> m</w:t>
      </w:r>
      <w:r>
        <w:rPr>
          <w:spacing w:val="2"/>
          <w:sz w:val="22"/>
          <w:szCs w:val="22"/>
        </w:rPr>
        <w:t>odel the imperfection of reported geo-information by additive noise to UEs’ positions. For simplicity we model the noise in horizontal and vertical axes as independent Gaussian random variables centered on the true coordinates of the UE and with certain standard deviation. The following figures show PRR performance for various noise variances.</w:t>
      </w:r>
    </w:p>
    <w:p w:rsidR="008C700C" w:rsidRDefault="008C700C" w:rsidP="008C700C">
      <w:pPr>
        <w:pStyle w:val="BodyText"/>
        <w:spacing w:after="240"/>
        <w:rPr>
          <w:b/>
          <w:spacing w:val="2"/>
          <w:sz w:val="22"/>
          <w:szCs w:val="22"/>
        </w:rPr>
      </w:pPr>
      <w:r>
        <w:rPr>
          <w:b/>
          <w:noProof/>
          <w:spacing w:val="2"/>
          <w:sz w:val="22"/>
          <w:szCs w:val="22"/>
          <w:lang w:val="sv-SE" w:eastAsia="sv-SE"/>
        </w:rPr>
        <w:lastRenderedPageBreak/>
        <w:drawing>
          <wp:inline distT="0" distB="0" distL="0" distR="0" wp14:anchorId="773F0746" wp14:editId="48070329">
            <wp:extent cx="3240000" cy="2622206"/>
            <wp:effectExtent l="0" t="0" r="0" b="6985"/>
            <wp:docPr id="4" name="Picture 4" descr="C:\home\workspace\ferrari\branches\LTE_CentralizedRA_FDM\results\RAN1_84bis_sims\HWF_diffSF_noiseless_vs_noisy_location_cente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ome\workspace\ferrari\branches\LTE_CentralizedRA_FDM\results\RAN1_84bis_sims\HWF_diffSF_noiseless_vs_noisy_location_centered.emf"/>
                    <pic:cNvPicPr>
                      <a:picLocks noChangeAspect="1" noChangeArrowheads="1"/>
                    </pic:cNvPicPr>
                  </pic:nvPicPr>
                  <pic:blipFill rotWithShape="1">
                    <a:blip r:embed="rId9">
                      <a:extLst>
                        <a:ext uri="{28A0092B-C50C-407E-A947-70E740481C1C}">
                          <a14:useLocalDpi xmlns:a14="http://schemas.microsoft.com/office/drawing/2010/main" val="0"/>
                        </a:ext>
                      </a:extLst>
                    </a:blip>
                    <a:srcRect l="3139" r="4287"/>
                    <a:stretch/>
                  </pic:blipFill>
                  <pic:spPr bwMode="auto">
                    <a:xfrm>
                      <a:off x="0" y="0"/>
                      <a:ext cx="3240000" cy="2622206"/>
                    </a:xfrm>
                    <a:prstGeom prst="rect">
                      <a:avLst/>
                    </a:prstGeom>
                    <a:noFill/>
                    <a:ln>
                      <a:noFill/>
                    </a:ln>
                    <a:extLst>
                      <a:ext uri="{53640926-AAD7-44D8-BBD7-CCE9431645EC}">
                        <a14:shadowObscured xmlns:a14="http://schemas.microsoft.com/office/drawing/2010/main"/>
                      </a:ext>
                    </a:extLst>
                  </pic:spPr>
                </pic:pic>
              </a:graphicData>
            </a:graphic>
          </wp:inline>
        </w:drawing>
      </w:r>
      <w:r>
        <w:rPr>
          <w:b/>
          <w:noProof/>
          <w:spacing w:val="2"/>
          <w:sz w:val="22"/>
          <w:szCs w:val="22"/>
          <w:lang w:val="sv-SE" w:eastAsia="sv-SE"/>
        </w:rPr>
        <w:drawing>
          <wp:inline distT="0" distB="0" distL="0" distR="0" wp14:anchorId="3D83BC0D" wp14:editId="01D217F7">
            <wp:extent cx="3240000" cy="2616660"/>
            <wp:effectExtent l="0" t="0" r="0" b="0"/>
            <wp:docPr id="5" name="Picture 5" descr="C:\home\workspace\ferrari\branches\LTE_CentralizedRA_FDM\results\RAN1_84bis_sims\HWF_sameSF_noiseless_vs_noisy_location_cente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ome\workspace\ferrari\branches\LTE_CentralizedRA_FDM\results\RAN1_84bis_sims\HWF_sameSF_noiseless_vs_noisy_location_centered.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3137" r="4033"/>
                    <a:stretch/>
                  </pic:blipFill>
                  <pic:spPr bwMode="auto">
                    <a:xfrm>
                      <a:off x="0" y="0"/>
                      <a:ext cx="3240000" cy="2616660"/>
                    </a:xfrm>
                    <a:prstGeom prst="rect">
                      <a:avLst/>
                    </a:prstGeom>
                    <a:noFill/>
                    <a:ln>
                      <a:noFill/>
                    </a:ln>
                    <a:extLst>
                      <a:ext uri="{53640926-AAD7-44D8-BBD7-CCE9431645EC}">
                        <a14:shadowObscured xmlns:a14="http://schemas.microsoft.com/office/drawing/2010/main"/>
                      </a:ext>
                    </a:extLst>
                  </pic:spPr>
                </pic:pic>
              </a:graphicData>
            </a:graphic>
          </wp:inline>
        </w:drawing>
      </w:r>
    </w:p>
    <w:p w:rsidR="008C700C" w:rsidRDefault="008C700C" w:rsidP="008C700C">
      <w:pPr>
        <w:pStyle w:val="Caption"/>
        <w:rPr>
          <w:b w:val="0"/>
          <w:spacing w:val="2"/>
          <w:sz w:val="22"/>
          <w:szCs w:val="22"/>
        </w:rPr>
      </w:pPr>
      <w:bookmarkStart w:id="7" w:name="_Ref447201217"/>
      <w:r w:rsidRPr="005C42DA">
        <w:rPr>
          <w:spacing w:val="2"/>
          <w:sz w:val="22"/>
          <w:szCs w:val="22"/>
        </w:rPr>
        <w:t xml:space="preserve">Figure </w:t>
      </w:r>
      <w:r w:rsidRPr="005C42DA">
        <w:rPr>
          <w:spacing w:val="2"/>
          <w:sz w:val="22"/>
          <w:szCs w:val="22"/>
        </w:rPr>
        <w:fldChar w:fldCharType="begin"/>
      </w:r>
      <w:r w:rsidRPr="005C42DA">
        <w:rPr>
          <w:spacing w:val="2"/>
          <w:sz w:val="22"/>
          <w:szCs w:val="22"/>
        </w:rPr>
        <w:instrText xml:space="preserve"> SEQ Figure \* ARABIC </w:instrText>
      </w:r>
      <w:r w:rsidRPr="005C42DA">
        <w:rPr>
          <w:spacing w:val="2"/>
          <w:sz w:val="22"/>
          <w:szCs w:val="22"/>
        </w:rPr>
        <w:fldChar w:fldCharType="separate"/>
      </w:r>
      <w:r w:rsidRPr="005C42DA">
        <w:rPr>
          <w:spacing w:val="2"/>
          <w:sz w:val="22"/>
          <w:szCs w:val="22"/>
        </w:rPr>
        <w:t>1</w:t>
      </w:r>
      <w:r w:rsidRPr="005C42DA">
        <w:rPr>
          <w:spacing w:val="2"/>
          <w:sz w:val="22"/>
          <w:szCs w:val="22"/>
        </w:rPr>
        <w:fldChar w:fldCharType="end"/>
      </w:r>
      <w:bookmarkEnd w:id="7"/>
      <w:r>
        <w:rPr>
          <w:spacing w:val="2"/>
          <w:sz w:val="22"/>
          <w:szCs w:val="22"/>
        </w:rPr>
        <w:t xml:space="preserve"> : PRR performance of centralized RA, perfect vs. noisy geo-location information at </w:t>
      </w:r>
      <w:proofErr w:type="spellStart"/>
      <w:r>
        <w:rPr>
          <w:spacing w:val="2"/>
          <w:sz w:val="22"/>
          <w:szCs w:val="22"/>
        </w:rPr>
        <w:t>eNB</w:t>
      </w:r>
      <w:proofErr w:type="spellEnd"/>
      <w:r>
        <w:rPr>
          <w:spacing w:val="2"/>
          <w:sz w:val="22"/>
          <w:szCs w:val="22"/>
        </w:rPr>
        <w:t xml:space="preserve">, highway fast scenario, SA and associated data in different </w:t>
      </w:r>
      <w:proofErr w:type="spellStart"/>
      <w:r>
        <w:rPr>
          <w:spacing w:val="2"/>
          <w:sz w:val="22"/>
          <w:szCs w:val="22"/>
        </w:rPr>
        <w:t>subframes</w:t>
      </w:r>
      <w:proofErr w:type="spellEnd"/>
      <w:r>
        <w:rPr>
          <w:spacing w:val="2"/>
          <w:sz w:val="22"/>
          <w:szCs w:val="22"/>
        </w:rPr>
        <w:t xml:space="preserve"> (left), and SA and associated data in the same </w:t>
      </w:r>
      <w:proofErr w:type="spellStart"/>
      <w:r>
        <w:rPr>
          <w:spacing w:val="2"/>
          <w:sz w:val="22"/>
          <w:szCs w:val="22"/>
        </w:rPr>
        <w:t>subframe</w:t>
      </w:r>
      <w:proofErr w:type="spellEnd"/>
      <w:r>
        <w:rPr>
          <w:spacing w:val="2"/>
          <w:sz w:val="22"/>
          <w:szCs w:val="22"/>
        </w:rPr>
        <w:t xml:space="preserve"> (right)</w:t>
      </w:r>
    </w:p>
    <w:p w:rsidR="008C700C" w:rsidRDefault="008C700C" w:rsidP="008C700C">
      <w:pPr>
        <w:pStyle w:val="BodyText"/>
        <w:spacing w:after="240"/>
        <w:jc w:val="both"/>
        <w:rPr>
          <w:spacing w:val="2"/>
          <w:sz w:val="22"/>
          <w:szCs w:val="22"/>
        </w:rPr>
      </w:pPr>
      <w:r>
        <w:rPr>
          <w:spacing w:val="2"/>
          <w:sz w:val="22"/>
          <w:szCs w:val="22"/>
        </w:rPr>
        <w:t xml:space="preserve">The left plot in </w:t>
      </w:r>
      <w:r>
        <w:rPr>
          <w:spacing w:val="2"/>
          <w:sz w:val="22"/>
          <w:szCs w:val="22"/>
        </w:rPr>
        <w:fldChar w:fldCharType="begin"/>
      </w:r>
      <w:r>
        <w:rPr>
          <w:spacing w:val="2"/>
          <w:sz w:val="22"/>
          <w:szCs w:val="22"/>
        </w:rPr>
        <w:instrText xml:space="preserve"> REF _Ref447201217 \h </w:instrText>
      </w:r>
      <w:r>
        <w:rPr>
          <w:spacing w:val="2"/>
          <w:sz w:val="22"/>
          <w:szCs w:val="22"/>
        </w:rPr>
      </w:r>
      <w:r>
        <w:rPr>
          <w:spacing w:val="2"/>
          <w:sz w:val="22"/>
          <w:szCs w:val="22"/>
        </w:rPr>
        <w:fldChar w:fldCharType="separate"/>
      </w:r>
      <w:r w:rsidRPr="005C42DA">
        <w:rPr>
          <w:spacing w:val="2"/>
          <w:sz w:val="22"/>
          <w:szCs w:val="22"/>
        </w:rPr>
        <w:t>Figure 1</w:t>
      </w:r>
      <w:r>
        <w:rPr>
          <w:spacing w:val="2"/>
          <w:sz w:val="22"/>
          <w:szCs w:val="22"/>
        </w:rPr>
        <w:fldChar w:fldCharType="end"/>
      </w:r>
      <w:r>
        <w:rPr>
          <w:spacing w:val="2"/>
          <w:sz w:val="22"/>
          <w:szCs w:val="22"/>
        </w:rPr>
        <w:t xml:space="preserve"> </w:t>
      </w:r>
      <w:r w:rsidRPr="007978EC">
        <w:rPr>
          <w:spacing w:val="2"/>
          <w:sz w:val="22"/>
          <w:szCs w:val="22"/>
        </w:rPr>
        <w:t xml:space="preserve">shows </w:t>
      </w:r>
      <w:r>
        <w:rPr>
          <w:spacing w:val="2"/>
          <w:sz w:val="22"/>
          <w:szCs w:val="22"/>
        </w:rPr>
        <w:t xml:space="preserve">the average PRRs achieved when the standard deviation </w:t>
      </w:r>
      <m:oMath>
        <m:r>
          <w:rPr>
            <w:rFonts w:ascii="Cambria Math" w:hAnsi="Cambria Math"/>
            <w:spacing w:val="2"/>
          </w:rPr>
          <m:t>σ</m:t>
        </m:r>
      </m:oMath>
      <w:r>
        <w:rPr>
          <w:spacing w:val="2"/>
          <w:sz w:val="22"/>
          <w:szCs w:val="22"/>
        </w:rPr>
        <w:t xml:space="preserve"> of the Gaussian noise per coordinate changes from 0 (perfect geo-location information) to 100m, for highway 140 km/h scenario, SA and data pools are multiplexed in frequency but SA and its associated data are transmitted in different </w:t>
      </w:r>
      <w:proofErr w:type="spellStart"/>
      <w:r>
        <w:rPr>
          <w:spacing w:val="2"/>
          <w:sz w:val="22"/>
          <w:szCs w:val="22"/>
        </w:rPr>
        <w:t>subframes</w:t>
      </w:r>
      <w:proofErr w:type="spellEnd"/>
      <w:r>
        <w:rPr>
          <w:spacing w:val="2"/>
          <w:sz w:val="22"/>
          <w:szCs w:val="22"/>
        </w:rPr>
        <w:t xml:space="preserve">. The right plot is for the case when SA and its associated data are transmitted in the same </w:t>
      </w:r>
      <w:proofErr w:type="spellStart"/>
      <w:r>
        <w:rPr>
          <w:spacing w:val="2"/>
          <w:sz w:val="22"/>
          <w:szCs w:val="22"/>
        </w:rPr>
        <w:t>subframe</w:t>
      </w:r>
      <w:proofErr w:type="spellEnd"/>
      <w:r>
        <w:rPr>
          <w:spacing w:val="2"/>
          <w:sz w:val="22"/>
          <w:szCs w:val="22"/>
        </w:rPr>
        <w:t xml:space="preserve">, with larger changes </w:t>
      </w:r>
      <w:proofErr w:type="gramStart"/>
      <w:r>
        <w:rPr>
          <w:spacing w:val="2"/>
          <w:sz w:val="22"/>
          <w:szCs w:val="22"/>
        </w:rPr>
        <w:t xml:space="preserve">in </w:t>
      </w:r>
      <w:proofErr w:type="gramEnd"/>
      <m:oMath>
        <m:r>
          <w:rPr>
            <w:rFonts w:ascii="Cambria Math" w:hAnsi="Cambria Math"/>
            <w:spacing w:val="2"/>
          </w:rPr>
          <m:t>σ</m:t>
        </m:r>
      </m:oMath>
      <w:r>
        <w:rPr>
          <w:spacing w:val="2"/>
          <w:sz w:val="22"/>
          <w:szCs w:val="22"/>
        </w:rPr>
        <w:t xml:space="preserve">. One can see that the latter case (same subframe SA-data transmission) </w:t>
      </w:r>
      <w:r w:rsidRPr="007978EC">
        <w:rPr>
          <w:spacing w:val="2"/>
          <w:sz w:val="22"/>
          <w:szCs w:val="22"/>
        </w:rPr>
        <w:t>is much more robust against noisy information of UEs’ geo</w:t>
      </w:r>
      <w:r>
        <w:rPr>
          <w:spacing w:val="2"/>
          <w:sz w:val="22"/>
          <w:szCs w:val="22"/>
        </w:rPr>
        <w:t>-</w:t>
      </w:r>
      <w:r w:rsidRPr="007978EC">
        <w:rPr>
          <w:spacing w:val="2"/>
          <w:sz w:val="22"/>
          <w:szCs w:val="22"/>
        </w:rPr>
        <w:t>location</w:t>
      </w:r>
      <w:r>
        <w:rPr>
          <w:spacing w:val="2"/>
          <w:sz w:val="22"/>
          <w:szCs w:val="22"/>
        </w:rPr>
        <w:t xml:space="preserve"> than the former case (different </w:t>
      </w:r>
      <w:proofErr w:type="spellStart"/>
      <w:r>
        <w:rPr>
          <w:spacing w:val="2"/>
          <w:sz w:val="22"/>
          <w:szCs w:val="22"/>
        </w:rPr>
        <w:t>subframes</w:t>
      </w:r>
      <w:proofErr w:type="spellEnd"/>
      <w:r>
        <w:rPr>
          <w:spacing w:val="2"/>
          <w:sz w:val="22"/>
          <w:szCs w:val="22"/>
        </w:rPr>
        <w:t xml:space="preserve"> SA-data transmission)</w:t>
      </w:r>
      <w:r w:rsidRPr="007978EC">
        <w:rPr>
          <w:spacing w:val="2"/>
          <w:sz w:val="22"/>
          <w:szCs w:val="22"/>
        </w:rPr>
        <w:t xml:space="preserve">. This </w:t>
      </w:r>
      <w:r>
        <w:rPr>
          <w:spacing w:val="2"/>
          <w:sz w:val="22"/>
          <w:szCs w:val="22"/>
        </w:rPr>
        <w:t xml:space="preserve">phenomenon can be attributed to the fact that the number of transmitters that are co-scheduled in the same </w:t>
      </w:r>
      <w:proofErr w:type="spellStart"/>
      <w:r>
        <w:rPr>
          <w:spacing w:val="2"/>
          <w:sz w:val="22"/>
          <w:szCs w:val="22"/>
        </w:rPr>
        <w:t>subframe</w:t>
      </w:r>
      <w:proofErr w:type="spellEnd"/>
      <w:r>
        <w:rPr>
          <w:spacing w:val="2"/>
          <w:sz w:val="22"/>
          <w:szCs w:val="22"/>
        </w:rPr>
        <w:t xml:space="preserve"> in the latter case is less than that in the former case. As a result, error in location information, which may lead to change in which users are co-scheduled in the same </w:t>
      </w:r>
      <w:proofErr w:type="spellStart"/>
      <w:r>
        <w:rPr>
          <w:spacing w:val="2"/>
          <w:sz w:val="22"/>
          <w:szCs w:val="22"/>
        </w:rPr>
        <w:t>subframe</w:t>
      </w:r>
      <w:proofErr w:type="spellEnd"/>
      <w:r>
        <w:rPr>
          <w:spacing w:val="2"/>
          <w:sz w:val="22"/>
          <w:szCs w:val="22"/>
        </w:rPr>
        <w:t xml:space="preserve">, has less impact when SA and data are transmitted in the same </w:t>
      </w:r>
      <w:proofErr w:type="spellStart"/>
      <w:r>
        <w:rPr>
          <w:spacing w:val="2"/>
          <w:sz w:val="22"/>
          <w:szCs w:val="22"/>
        </w:rPr>
        <w:t>subframe</w:t>
      </w:r>
      <w:proofErr w:type="spellEnd"/>
      <w:r>
        <w:rPr>
          <w:spacing w:val="2"/>
          <w:sz w:val="22"/>
          <w:szCs w:val="22"/>
        </w:rPr>
        <w:t xml:space="preserve">. </w:t>
      </w:r>
    </w:p>
    <w:p w:rsidR="008C700C" w:rsidRDefault="008C700C" w:rsidP="008C700C">
      <w:pPr>
        <w:pStyle w:val="BodyText"/>
        <w:spacing w:after="240"/>
        <w:jc w:val="both"/>
        <w:rPr>
          <w:spacing w:val="2"/>
          <w:sz w:val="22"/>
          <w:szCs w:val="22"/>
        </w:rPr>
      </w:pPr>
      <w:r>
        <w:rPr>
          <w:spacing w:val="2"/>
          <w:sz w:val="22"/>
          <w:szCs w:val="22"/>
        </w:rPr>
        <w:t xml:space="preserve">We observe the same phenomenon for urban case as shown in </w:t>
      </w:r>
      <w:r w:rsidRPr="001C5C83">
        <w:rPr>
          <w:spacing w:val="2"/>
          <w:sz w:val="22"/>
          <w:szCs w:val="22"/>
        </w:rPr>
        <w:fldChar w:fldCharType="begin"/>
      </w:r>
      <w:r w:rsidRPr="001C5C83">
        <w:rPr>
          <w:spacing w:val="2"/>
          <w:sz w:val="22"/>
          <w:szCs w:val="22"/>
        </w:rPr>
        <w:instrText xml:space="preserve"> REF _Ref447201169 \h  \* MERGEFORMAT </w:instrText>
      </w:r>
      <w:r w:rsidRPr="001C5C83">
        <w:rPr>
          <w:spacing w:val="2"/>
          <w:sz w:val="22"/>
          <w:szCs w:val="22"/>
        </w:rPr>
      </w:r>
      <w:r w:rsidRPr="001C5C83">
        <w:rPr>
          <w:spacing w:val="2"/>
          <w:sz w:val="22"/>
          <w:szCs w:val="22"/>
        </w:rPr>
        <w:fldChar w:fldCharType="separate"/>
      </w:r>
      <w:r w:rsidRPr="001C5C83">
        <w:rPr>
          <w:spacing w:val="2"/>
          <w:sz w:val="22"/>
          <w:szCs w:val="22"/>
        </w:rPr>
        <w:t>Figure 2</w:t>
      </w:r>
      <w:r w:rsidRPr="001C5C83">
        <w:rPr>
          <w:spacing w:val="2"/>
          <w:sz w:val="22"/>
          <w:szCs w:val="22"/>
        </w:rPr>
        <w:fldChar w:fldCharType="end"/>
      </w:r>
      <w:r>
        <w:rPr>
          <w:spacing w:val="2"/>
          <w:sz w:val="22"/>
          <w:szCs w:val="22"/>
        </w:rPr>
        <w:t xml:space="preserve"> below.</w:t>
      </w:r>
    </w:p>
    <w:p w:rsidR="008C700C" w:rsidRPr="007978EC" w:rsidRDefault="008C700C" w:rsidP="008C700C">
      <w:pPr>
        <w:pStyle w:val="BodyText"/>
        <w:spacing w:after="240"/>
        <w:jc w:val="both"/>
        <w:rPr>
          <w:spacing w:val="2"/>
          <w:sz w:val="22"/>
          <w:szCs w:val="22"/>
        </w:rPr>
      </w:pPr>
      <w:r>
        <w:rPr>
          <w:spacing w:val="2"/>
          <w:sz w:val="22"/>
          <w:szCs w:val="22"/>
        </w:rPr>
        <w:t xml:space="preserve">   </w:t>
      </w:r>
      <w:r>
        <w:rPr>
          <w:noProof/>
          <w:spacing w:val="2"/>
          <w:sz w:val="22"/>
          <w:szCs w:val="22"/>
          <w:lang w:val="sv-SE" w:eastAsia="sv-SE"/>
        </w:rPr>
        <w:drawing>
          <wp:inline distT="0" distB="0" distL="0" distR="0" wp14:anchorId="29B02D7E" wp14:editId="66CE1150">
            <wp:extent cx="3204000" cy="2611714"/>
            <wp:effectExtent l="0" t="0" r="0" b="0"/>
            <wp:docPr id="8" name="Picture 8" descr="C:\home\workspace\ferrari\branches\LTE_CentralizedRA_FDM\results\RAN1_84bis_sims\UBF_diffSF_noiseless_vs_noisy_location_cente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home\workspace\ferrari\branches\LTE_CentralizedRA_FDM\results\RAN1_84bis_sims\UBF_diffSF_noiseless_vs_noisy_location_centered.emf"/>
                    <pic:cNvPicPr>
                      <a:picLocks noChangeAspect="1" noChangeArrowheads="1"/>
                    </pic:cNvPicPr>
                  </pic:nvPicPr>
                  <pic:blipFill rotWithShape="1">
                    <a:blip r:embed="rId11">
                      <a:extLst>
                        <a:ext uri="{28A0092B-C50C-407E-A947-70E740481C1C}">
                          <a14:useLocalDpi xmlns:a14="http://schemas.microsoft.com/office/drawing/2010/main" val="0"/>
                        </a:ext>
                      </a:extLst>
                    </a:blip>
                    <a:srcRect l="3242" r="4698"/>
                    <a:stretch/>
                  </pic:blipFill>
                  <pic:spPr bwMode="auto">
                    <a:xfrm>
                      <a:off x="0" y="0"/>
                      <a:ext cx="3204000" cy="2611714"/>
                    </a:xfrm>
                    <a:prstGeom prst="rect">
                      <a:avLst/>
                    </a:prstGeom>
                    <a:noFill/>
                    <a:ln>
                      <a:noFill/>
                    </a:ln>
                    <a:extLst>
                      <a:ext uri="{53640926-AAD7-44D8-BBD7-CCE9431645EC}">
                        <a14:shadowObscured xmlns:a14="http://schemas.microsoft.com/office/drawing/2010/main"/>
                      </a:ext>
                    </a:extLst>
                  </pic:spPr>
                </pic:pic>
              </a:graphicData>
            </a:graphic>
          </wp:inline>
        </w:drawing>
      </w:r>
      <w:r>
        <w:rPr>
          <w:noProof/>
          <w:spacing w:val="2"/>
          <w:sz w:val="22"/>
          <w:szCs w:val="22"/>
          <w:lang w:val="sv-SE" w:eastAsia="sv-SE"/>
        </w:rPr>
        <w:drawing>
          <wp:inline distT="0" distB="0" distL="0" distR="0" wp14:anchorId="30E371F5" wp14:editId="209781BF">
            <wp:extent cx="3204000" cy="2611714"/>
            <wp:effectExtent l="0" t="0" r="0" b="0"/>
            <wp:docPr id="9" name="Picture 9" descr="C:\home\workspace\ferrari\branches\LTE_CentralizedRA_FDM\results\RAN1_84bis_sims\UBF_sameSF_noiseless_vs_noisy_location_cente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ome\workspace\ferrari\branches\LTE_CentralizedRA_FDM\results\RAN1_84bis_sims\UBF_sameSF_noiseless_vs_noisy_location_centered.emf"/>
                    <pic:cNvPicPr>
                      <a:picLocks noChangeAspect="1" noChangeArrowheads="1"/>
                    </pic:cNvPicPr>
                  </pic:nvPicPr>
                  <pic:blipFill rotWithShape="1">
                    <a:blip r:embed="rId12">
                      <a:extLst>
                        <a:ext uri="{28A0092B-C50C-407E-A947-70E740481C1C}">
                          <a14:useLocalDpi xmlns:a14="http://schemas.microsoft.com/office/drawing/2010/main" val="0"/>
                        </a:ext>
                      </a:extLst>
                    </a:blip>
                    <a:srcRect l="2918" r="5022"/>
                    <a:stretch/>
                  </pic:blipFill>
                  <pic:spPr bwMode="auto">
                    <a:xfrm>
                      <a:off x="0" y="0"/>
                      <a:ext cx="3204000" cy="2611714"/>
                    </a:xfrm>
                    <a:prstGeom prst="rect">
                      <a:avLst/>
                    </a:prstGeom>
                    <a:noFill/>
                    <a:ln>
                      <a:noFill/>
                    </a:ln>
                    <a:extLst>
                      <a:ext uri="{53640926-AAD7-44D8-BBD7-CCE9431645EC}">
                        <a14:shadowObscured xmlns:a14="http://schemas.microsoft.com/office/drawing/2010/main"/>
                      </a:ext>
                    </a:extLst>
                  </pic:spPr>
                </pic:pic>
              </a:graphicData>
            </a:graphic>
          </wp:inline>
        </w:drawing>
      </w:r>
    </w:p>
    <w:p w:rsidR="008C700C" w:rsidRPr="00125325" w:rsidRDefault="008C700C" w:rsidP="008C700C">
      <w:pPr>
        <w:pStyle w:val="BodyText"/>
        <w:spacing w:after="240"/>
        <w:jc w:val="center"/>
        <w:rPr>
          <w:b/>
          <w:spacing w:val="2"/>
          <w:sz w:val="22"/>
          <w:szCs w:val="22"/>
        </w:rPr>
      </w:pPr>
      <w:bookmarkStart w:id="8" w:name="_Ref447201169"/>
      <w:r w:rsidRPr="005C42DA">
        <w:rPr>
          <w:b/>
          <w:spacing w:val="2"/>
          <w:sz w:val="22"/>
          <w:szCs w:val="22"/>
        </w:rPr>
        <w:t xml:space="preserve">Figure </w:t>
      </w:r>
      <w:r w:rsidRPr="005C42DA">
        <w:rPr>
          <w:b/>
          <w:spacing w:val="2"/>
          <w:sz w:val="22"/>
          <w:szCs w:val="22"/>
        </w:rPr>
        <w:fldChar w:fldCharType="begin"/>
      </w:r>
      <w:r w:rsidRPr="005C42DA">
        <w:rPr>
          <w:b/>
          <w:spacing w:val="2"/>
          <w:sz w:val="22"/>
          <w:szCs w:val="22"/>
        </w:rPr>
        <w:instrText xml:space="preserve"> SEQ Figure \* ARABIC </w:instrText>
      </w:r>
      <w:r w:rsidRPr="005C42DA">
        <w:rPr>
          <w:b/>
          <w:spacing w:val="2"/>
          <w:sz w:val="22"/>
          <w:szCs w:val="22"/>
        </w:rPr>
        <w:fldChar w:fldCharType="separate"/>
      </w:r>
      <w:r w:rsidRPr="005C42DA">
        <w:rPr>
          <w:b/>
          <w:spacing w:val="2"/>
          <w:sz w:val="22"/>
          <w:szCs w:val="22"/>
        </w:rPr>
        <w:t>2</w:t>
      </w:r>
      <w:r w:rsidRPr="005C42DA">
        <w:rPr>
          <w:b/>
          <w:spacing w:val="2"/>
          <w:sz w:val="22"/>
          <w:szCs w:val="22"/>
        </w:rPr>
        <w:fldChar w:fldCharType="end"/>
      </w:r>
      <w:bookmarkEnd w:id="8"/>
      <w:r>
        <w:rPr>
          <w:b/>
          <w:spacing w:val="2"/>
          <w:sz w:val="22"/>
          <w:szCs w:val="22"/>
        </w:rPr>
        <w:t xml:space="preserve">: PRR performance of centralized RA, perfect vs. noisy geo-location information at </w:t>
      </w:r>
      <w:proofErr w:type="spellStart"/>
      <w:r>
        <w:rPr>
          <w:b/>
          <w:spacing w:val="2"/>
          <w:sz w:val="22"/>
          <w:szCs w:val="22"/>
        </w:rPr>
        <w:t>eNB</w:t>
      </w:r>
      <w:proofErr w:type="spellEnd"/>
      <w:r>
        <w:rPr>
          <w:b/>
          <w:spacing w:val="2"/>
          <w:sz w:val="22"/>
          <w:szCs w:val="22"/>
        </w:rPr>
        <w:t xml:space="preserve">, urban fast scenario, SA and associated data in different </w:t>
      </w:r>
      <w:proofErr w:type="spellStart"/>
      <w:r>
        <w:rPr>
          <w:b/>
          <w:spacing w:val="2"/>
          <w:sz w:val="22"/>
          <w:szCs w:val="22"/>
        </w:rPr>
        <w:t>subframes</w:t>
      </w:r>
      <w:proofErr w:type="spellEnd"/>
      <w:r>
        <w:rPr>
          <w:b/>
          <w:spacing w:val="2"/>
          <w:sz w:val="22"/>
          <w:szCs w:val="22"/>
        </w:rPr>
        <w:t xml:space="preserve"> (left), and SA and associated data in the same </w:t>
      </w:r>
      <w:proofErr w:type="spellStart"/>
      <w:r>
        <w:rPr>
          <w:b/>
          <w:spacing w:val="2"/>
          <w:sz w:val="22"/>
          <w:szCs w:val="22"/>
        </w:rPr>
        <w:t>subframe</w:t>
      </w:r>
      <w:proofErr w:type="spellEnd"/>
      <w:r>
        <w:rPr>
          <w:b/>
          <w:spacing w:val="2"/>
          <w:sz w:val="22"/>
          <w:szCs w:val="22"/>
        </w:rPr>
        <w:t xml:space="preserve"> (right)</w:t>
      </w:r>
    </w:p>
    <w:p w:rsidR="008C700C" w:rsidRPr="00877225" w:rsidRDefault="008C700C" w:rsidP="00420D28">
      <w:pPr>
        <w:pStyle w:val="ListParagraph"/>
        <w:ind w:left="567"/>
        <w:rPr>
          <w:rFonts w:ascii="Times New Roman" w:hAnsi="Times New Roman" w:cs="Times New Roman"/>
        </w:rPr>
      </w:pPr>
    </w:p>
    <w:sectPr w:rsidR="008C700C" w:rsidRPr="00877225"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5" w:rsidRDefault="009A38D5">
      <w:r>
        <w:separator/>
      </w:r>
    </w:p>
  </w:endnote>
  <w:endnote w:type="continuationSeparator" w:id="0">
    <w:p w:rsidR="009A38D5" w:rsidRDefault="009A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5" w:rsidRDefault="009A38D5">
      <w:r>
        <w:separator/>
      </w:r>
    </w:p>
  </w:footnote>
  <w:footnote w:type="continuationSeparator" w:id="0">
    <w:p w:rsidR="009A38D5" w:rsidRDefault="009A3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AD0476"/>
    <w:multiLevelType w:val="hybridMultilevel"/>
    <w:tmpl w:val="8D4619B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186A5965"/>
    <w:multiLevelType w:val="hybridMultilevel"/>
    <w:tmpl w:val="9F60A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38059F"/>
    <w:multiLevelType w:val="hybridMultilevel"/>
    <w:tmpl w:val="9578A2A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nsid w:val="303D5C52"/>
    <w:multiLevelType w:val="hybridMultilevel"/>
    <w:tmpl w:val="A330E4DC"/>
    <w:lvl w:ilvl="0" w:tplc="118ECD0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124551"/>
    <w:multiLevelType w:val="hybridMultilevel"/>
    <w:tmpl w:val="9EF47E48"/>
    <w:lvl w:ilvl="0" w:tplc="0560828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0B1784"/>
    <w:multiLevelType w:val="hybridMultilevel"/>
    <w:tmpl w:val="AFE6B4B6"/>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5E900AA5"/>
    <w:multiLevelType w:val="hybridMultilevel"/>
    <w:tmpl w:val="EFDC61E8"/>
    <w:lvl w:ilvl="0" w:tplc="D63419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2">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20"/>
  </w:num>
  <w:num w:numId="3">
    <w:abstractNumId w:val="18"/>
  </w:num>
  <w:num w:numId="4">
    <w:abstractNumId w:val="11"/>
  </w:num>
  <w:num w:numId="5">
    <w:abstractNumId w:val="12"/>
  </w:num>
  <w:num w:numId="6">
    <w:abstractNumId w:val="21"/>
  </w:num>
  <w:num w:numId="7">
    <w:abstractNumId w:val="2"/>
  </w:num>
  <w:num w:numId="8">
    <w:abstractNumId w:val="17"/>
  </w:num>
  <w:num w:numId="9">
    <w:abstractNumId w:val="10"/>
  </w:num>
  <w:num w:numId="10">
    <w:abstractNumId w:val="14"/>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8"/>
  </w:num>
  <w:num w:numId="17">
    <w:abstractNumId w:val="18"/>
  </w:num>
  <w:num w:numId="18">
    <w:abstractNumId w:val="5"/>
  </w:num>
  <w:num w:numId="19">
    <w:abstractNumId w:val="16"/>
  </w:num>
  <w:num w:numId="20">
    <w:abstractNumId w:val="8"/>
  </w:num>
  <w:num w:numId="21">
    <w:abstractNumId w:val="7"/>
  </w:num>
  <w:num w:numId="22">
    <w:abstractNumId w:val="6"/>
  </w:num>
  <w:num w:numId="23">
    <w:abstractNumId w:val="9"/>
  </w:num>
  <w:num w:numId="24">
    <w:abstractNumId w:val="8"/>
  </w:num>
  <w:num w:numId="25">
    <w:abstractNumId w:val="8"/>
  </w:num>
  <w:num w:numId="26">
    <w:abstractNumId w:val="18"/>
  </w:num>
  <w:num w:numId="27">
    <w:abstractNumId w:val="18"/>
  </w:num>
  <w:num w:numId="28">
    <w:abstractNumId w:val="8"/>
  </w:num>
  <w:num w:numId="29">
    <w:abstractNumId w:val="8"/>
  </w:num>
  <w:num w:numId="30">
    <w:abstractNumId w:val="3"/>
  </w:num>
  <w:num w:numId="31">
    <w:abstractNumId w:val="13"/>
  </w:num>
  <w:num w:numId="32">
    <w:abstractNumId w:val="1"/>
  </w:num>
  <w:num w:numId="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5A1"/>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1FAC"/>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158"/>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9DD"/>
    <w:rsid w:val="00085E73"/>
    <w:rsid w:val="00085F3C"/>
    <w:rsid w:val="00085FE5"/>
    <w:rsid w:val="000860F2"/>
    <w:rsid w:val="00086580"/>
    <w:rsid w:val="000866EA"/>
    <w:rsid w:val="00086847"/>
    <w:rsid w:val="00087208"/>
    <w:rsid w:val="0008723C"/>
    <w:rsid w:val="000874DF"/>
    <w:rsid w:val="00087DF5"/>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C81"/>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A33"/>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5ED"/>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4CA"/>
    <w:rsid w:val="0010583A"/>
    <w:rsid w:val="00105D75"/>
    <w:rsid w:val="00105E9A"/>
    <w:rsid w:val="0010621D"/>
    <w:rsid w:val="00106D66"/>
    <w:rsid w:val="00106DF9"/>
    <w:rsid w:val="0010754D"/>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33D"/>
    <w:rsid w:val="0011789A"/>
    <w:rsid w:val="00117A64"/>
    <w:rsid w:val="00117AB8"/>
    <w:rsid w:val="00117EFE"/>
    <w:rsid w:val="001203C0"/>
    <w:rsid w:val="00120BB4"/>
    <w:rsid w:val="00120DB7"/>
    <w:rsid w:val="001211ED"/>
    <w:rsid w:val="001218EF"/>
    <w:rsid w:val="00121A77"/>
    <w:rsid w:val="00121CA5"/>
    <w:rsid w:val="00121E70"/>
    <w:rsid w:val="00122798"/>
    <w:rsid w:val="00122D8E"/>
    <w:rsid w:val="001232A6"/>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0CD"/>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65F"/>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6F82"/>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DE1"/>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2"/>
    <w:rsid w:val="0018535A"/>
    <w:rsid w:val="00185884"/>
    <w:rsid w:val="00185AB7"/>
    <w:rsid w:val="00185D53"/>
    <w:rsid w:val="00185F05"/>
    <w:rsid w:val="00186EE9"/>
    <w:rsid w:val="00187520"/>
    <w:rsid w:val="0018756D"/>
    <w:rsid w:val="0018758B"/>
    <w:rsid w:val="0019044D"/>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39"/>
    <w:rsid w:val="001B1FFA"/>
    <w:rsid w:val="001B22C5"/>
    <w:rsid w:val="001B27AA"/>
    <w:rsid w:val="001B2D47"/>
    <w:rsid w:val="001B2ECC"/>
    <w:rsid w:val="001B3745"/>
    <w:rsid w:val="001B3F05"/>
    <w:rsid w:val="001B45E2"/>
    <w:rsid w:val="001B4822"/>
    <w:rsid w:val="001B4ED5"/>
    <w:rsid w:val="001B4FB6"/>
    <w:rsid w:val="001B53F8"/>
    <w:rsid w:val="001B5591"/>
    <w:rsid w:val="001B5B94"/>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AB4"/>
    <w:rsid w:val="001E1482"/>
    <w:rsid w:val="001E1880"/>
    <w:rsid w:val="001E19B6"/>
    <w:rsid w:val="001E1E1A"/>
    <w:rsid w:val="001E2151"/>
    <w:rsid w:val="001E25A7"/>
    <w:rsid w:val="001E2F28"/>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0C1A"/>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B00"/>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0EC"/>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2BDE"/>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BF2"/>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800"/>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CF4"/>
    <w:rsid w:val="00315DAF"/>
    <w:rsid w:val="003164A4"/>
    <w:rsid w:val="003168F4"/>
    <w:rsid w:val="00316C41"/>
    <w:rsid w:val="00317161"/>
    <w:rsid w:val="00317560"/>
    <w:rsid w:val="00317E53"/>
    <w:rsid w:val="00320008"/>
    <w:rsid w:val="00320160"/>
    <w:rsid w:val="003202D1"/>
    <w:rsid w:val="00320390"/>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4BF"/>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B2F"/>
    <w:rsid w:val="00354CAC"/>
    <w:rsid w:val="00354FDE"/>
    <w:rsid w:val="003551EB"/>
    <w:rsid w:val="003557E6"/>
    <w:rsid w:val="00355848"/>
    <w:rsid w:val="0035631D"/>
    <w:rsid w:val="003564E2"/>
    <w:rsid w:val="0035677B"/>
    <w:rsid w:val="00356AD2"/>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5FF4"/>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CBA"/>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C39"/>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E80"/>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A75"/>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9BC"/>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0AE5"/>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6A1"/>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78B"/>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173"/>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81A"/>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D83"/>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A5D"/>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252"/>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37A90"/>
    <w:rsid w:val="005401A9"/>
    <w:rsid w:val="00540DF1"/>
    <w:rsid w:val="005413FD"/>
    <w:rsid w:val="00541D7D"/>
    <w:rsid w:val="005425A1"/>
    <w:rsid w:val="005425AE"/>
    <w:rsid w:val="0054260E"/>
    <w:rsid w:val="00542707"/>
    <w:rsid w:val="0054279D"/>
    <w:rsid w:val="00542CB1"/>
    <w:rsid w:val="00542FD6"/>
    <w:rsid w:val="00543120"/>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D4A"/>
    <w:rsid w:val="00546FBA"/>
    <w:rsid w:val="005472E8"/>
    <w:rsid w:val="00547EF7"/>
    <w:rsid w:val="00550041"/>
    <w:rsid w:val="0055090C"/>
    <w:rsid w:val="00550BA5"/>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5796A"/>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AE1"/>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C03"/>
    <w:rsid w:val="005B2FA6"/>
    <w:rsid w:val="005B3076"/>
    <w:rsid w:val="005B3A92"/>
    <w:rsid w:val="005B3BE1"/>
    <w:rsid w:val="005B3E39"/>
    <w:rsid w:val="005B42D3"/>
    <w:rsid w:val="005B5339"/>
    <w:rsid w:val="005B56E7"/>
    <w:rsid w:val="005B5762"/>
    <w:rsid w:val="005B58C2"/>
    <w:rsid w:val="005B5C23"/>
    <w:rsid w:val="005B5F4C"/>
    <w:rsid w:val="005B6086"/>
    <w:rsid w:val="005B6121"/>
    <w:rsid w:val="005B77B1"/>
    <w:rsid w:val="005C0074"/>
    <w:rsid w:val="005C0492"/>
    <w:rsid w:val="005C07EE"/>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C2F"/>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BEB"/>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712"/>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F1"/>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27FEE"/>
    <w:rsid w:val="00630143"/>
    <w:rsid w:val="006307E8"/>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3C9C"/>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24"/>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1D87"/>
    <w:rsid w:val="006A22D9"/>
    <w:rsid w:val="006A3458"/>
    <w:rsid w:val="006A3760"/>
    <w:rsid w:val="006A3FA9"/>
    <w:rsid w:val="006A41DB"/>
    <w:rsid w:val="006A474C"/>
    <w:rsid w:val="006A4F90"/>
    <w:rsid w:val="006A4FB8"/>
    <w:rsid w:val="006A52D1"/>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5C"/>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3F1F"/>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0E3A"/>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CAA"/>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8D5"/>
    <w:rsid w:val="007C1A58"/>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018"/>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5EA"/>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A8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6D4"/>
    <w:rsid w:val="007F0729"/>
    <w:rsid w:val="007F0769"/>
    <w:rsid w:val="007F0A1B"/>
    <w:rsid w:val="007F0C20"/>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50"/>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48"/>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874"/>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225"/>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1B7"/>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2E5F"/>
    <w:rsid w:val="008C3177"/>
    <w:rsid w:val="008C319A"/>
    <w:rsid w:val="008C3A01"/>
    <w:rsid w:val="008C4344"/>
    <w:rsid w:val="008C43D7"/>
    <w:rsid w:val="008C477C"/>
    <w:rsid w:val="008C4C35"/>
    <w:rsid w:val="008C4E2E"/>
    <w:rsid w:val="008C5851"/>
    <w:rsid w:val="008C5D79"/>
    <w:rsid w:val="008C6499"/>
    <w:rsid w:val="008C6D5F"/>
    <w:rsid w:val="008C6F52"/>
    <w:rsid w:val="008C700C"/>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5CF5"/>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6AD"/>
    <w:rsid w:val="00947C08"/>
    <w:rsid w:val="00947E37"/>
    <w:rsid w:val="0095040D"/>
    <w:rsid w:val="00950426"/>
    <w:rsid w:val="00950499"/>
    <w:rsid w:val="00950CE0"/>
    <w:rsid w:val="00950F15"/>
    <w:rsid w:val="00950F6A"/>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4FE4"/>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C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273"/>
    <w:rsid w:val="00984637"/>
    <w:rsid w:val="00985053"/>
    <w:rsid w:val="00985085"/>
    <w:rsid w:val="009851A1"/>
    <w:rsid w:val="00985319"/>
    <w:rsid w:val="009853C2"/>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8D5"/>
    <w:rsid w:val="009A3B8C"/>
    <w:rsid w:val="009A40F9"/>
    <w:rsid w:val="009A413C"/>
    <w:rsid w:val="009A414B"/>
    <w:rsid w:val="009A42B5"/>
    <w:rsid w:val="009A43C8"/>
    <w:rsid w:val="009A4524"/>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3CA3"/>
    <w:rsid w:val="009B4F22"/>
    <w:rsid w:val="009B520F"/>
    <w:rsid w:val="009B5968"/>
    <w:rsid w:val="009B6D42"/>
    <w:rsid w:val="009B6EF1"/>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57A9"/>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98"/>
    <w:rsid w:val="009E76BA"/>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7CB"/>
    <w:rsid w:val="00A01F5A"/>
    <w:rsid w:val="00A02092"/>
    <w:rsid w:val="00A02335"/>
    <w:rsid w:val="00A02EE3"/>
    <w:rsid w:val="00A02F17"/>
    <w:rsid w:val="00A02F7F"/>
    <w:rsid w:val="00A030CB"/>
    <w:rsid w:val="00A032CA"/>
    <w:rsid w:val="00A036E6"/>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926"/>
    <w:rsid w:val="00A27A18"/>
    <w:rsid w:val="00A27D4F"/>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095"/>
    <w:rsid w:val="00A37692"/>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72"/>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1EA"/>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13A"/>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D06"/>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3F44"/>
    <w:rsid w:val="00AB4428"/>
    <w:rsid w:val="00AB48A0"/>
    <w:rsid w:val="00AB4939"/>
    <w:rsid w:val="00AB4DE6"/>
    <w:rsid w:val="00AB54A9"/>
    <w:rsid w:val="00AB563D"/>
    <w:rsid w:val="00AB575F"/>
    <w:rsid w:val="00AB6910"/>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584"/>
    <w:rsid w:val="00AC3878"/>
    <w:rsid w:val="00AC3E5B"/>
    <w:rsid w:val="00AC4525"/>
    <w:rsid w:val="00AC4699"/>
    <w:rsid w:val="00AC4C4A"/>
    <w:rsid w:val="00AC4C51"/>
    <w:rsid w:val="00AC530D"/>
    <w:rsid w:val="00AC5525"/>
    <w:rsid w:val="00AC5592"/>
    <w:rsid w:val="00AC56B1"/>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887"/>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1DCD"/>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07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226"/>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5B99"/>
    <w:rsid w:val="00B660F0"/>
    <w:rsid w:val="00B66ADE"/>
    <w:rsid w:val="00B66CD3"/>
    <w:rsid w:val="00B66F8A"/>
    <w:rsid w:val="00B673F5"/>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DEE"/>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E62"/>
    <w:rsid w:val="00B97FF3"/>
    <w:rsid w:val="00BA05E9"/>
    <w:rsid w:val="00BA0645"/>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BFE"/>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2EB"/>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10A"/>
    <w:rsid w:val="00C056E4"/>
    <w:rsid w:val="00C05BE7"/>
    <w:rsid w:val="00C062BF"/>
    <w:rsid w:val="00C0723D"/>
    <w:rsid w:val="00C07354"/>
    <w:rsid w:val="00C0767E"/>
    <w:rsid w:val="00C07A3B"/>
    <w:rsid w:val="00C07D65"/>
    <w:rsid w:val="00C1077A"/>
    <w:rsid w:val="00C10886"/>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B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05"/>
    <w:rsid w:val="00C666C3"/>
    <w:rsid w:val="00C66C99"/>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DA3"/>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66"/>
    <w:rsid w:val="00CA5A8D"/>
    <w:rsid w:val="00CA5B2B"/>
    <w:rsid w:val="00CA5BAB"/>
    <w:rsid w:val="00CA5F08"/>
    <w:rsid w:val="00CA5F74"/>
    <w:rsid w:val="00CA638D"/>
    <w:rsid w:val="00CA68C0"/>
    <w:rsid w:val="00CA6951"/>
    <w:rsid w:val="00CA7313"/>
    <w:rsid w:val="00CA75B3"/>
    <w:rsid w:val="00CA7765"/>
    <w:rsid w:val="00CA7952"/>
    <w:rsid w:val="00CA7F1A"/>
    <w:rsid w:val="00CB0233"/>
    <w:rsid w:val="00CB0F3C"/>
    <w:rsid w:val="00CB10FA"/>
    <w:rsid w:val="00CB1A7E"/>
    <w:rsid w:val="00CB227F"/>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8"/>
    <w:rsid w:val="00CC3CE9"/>
    <w:rsid w:val="00CC5026"/>
    <w:rsid w:val="00CC5414"/>
    <w:rsid w:val="00CC5488"/>
    <w:rsid w:val="00CC649C"/>
    <w:rsid w:val="00CC650B"/>
    <w:rsid w:val="00CC6626"/>
    <w:rsid w:val="00CC67B7"/>
    <w:rsid w:val="00CC6992"/>
    <w:rsid w:val="00CC6BEC"/>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118"/>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5EB9"/>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2D87"/>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0D8"/>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145"/>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210"/>
    <w:rsid w:val="00D9742F"/>
    <w:rsid w:val="00DA000A"/>
    <w:rsid w:val="00DA004A"/>
    <w:rsid w:val="00DA06B0"/>
    <w:rsid w:val="00DA0EBA"/>
    <w:rsid w:val="00DA12DB"/>
    <w:rsid w:val="00DA1475"/>
    <w:rsid w:val="00DA15AE"/>
    <w:rsid w:val="00DA1779"/>
    <w:rsid w:val="00DA1A5E"/>
    <w:rsid w:val="00DA1D03"/>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C7FE5"/>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66E"/>
    <w:rsid w:val="00DE07EC"/>
    <w:rsid w:val="00DE0B18"/>
    <w:rsid w:val="00DE161E"/>
    <w:rsid w:val="00DE1B2A"/>
    <w:rsid w:val="00DE1F59"/>
    <w:rsid w:val="00DE1F97"/>
    <w:rsid w:val="00DE24DF"/>
    <w:rsid w:val="00DE24E5"/>
    <w:rsid w:val="00DE2641"/>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62C"/>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9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B7F"/>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32B"/>
    <w:rsid w:val="00E61DCA"/>
    <w:rsid w:val="00E6291F"/>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17F"/>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8B4"/>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FD9"/>
    <w:rsid w:val="00E878B9"/>
    <w:rsid w:val="00E87E8A"/>
    <w:rsid w:val="00E9086A"/>
    <w:rsid w:val="00E90898"/>
    <w:rsid w:val="00E90DD2"/>
    <w:rsid w:val="00E90E9D"/>
    <w:rsid w:val="00E90EDF"/>
    <w:rsid w:val="00E90F32"/>
    <w:rsid w:val="00E91CD0"/>
    <w:rsid w:val="00E9202E"/>
    <w:rsid w:val="00E92694"/>
    <w:rsid w:val="00E9278F"/>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15E"/>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295"/>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7E8"/>
    <w:rsid w:val="00F04751"/>
    <w:rsid w:val="00F0510E"/>
    <w:rsid w:val="00F051A7"/>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86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0215"/>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497"/>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4C3"/>
    <w:rsid w:val="00F96BB9"/>
    <w:rsid w:val="00F96ED7"/>
    <w:rsid w:val="00F972AA"/>
    <w:rsid w:val="00F974FB"/>
    <w:rsid w:val="00FA0599"/>
    <w:rsid w:val="00FA098A"/>
    <w:rsid w:val="00FA0BA9"/>
    <w:rsid w:val="00FA0CCC"/>
    <w:rsid w:val="00FA1079"/>
    <w:rsid w:val="00FA11C4"/>
    <w:rsid w:val="00FA1695"/>
    <w:rsid w:val="00FA1AB4"/>
    <w:rsid w:val="00FA1B5D"/>
    <w:rsid w:val="00FA2294"/>
    <w:rsid w:val="00FA2496"/>
    <w:rsid w:val="00FA2630"/>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3F6"/>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6C8"/>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Proposal">
    <w:name w:val="Proposal"/>
    <w:basedOn w:val="Normal"/>
    <w:rsid w:val="00EB315E"/>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Proposal">
    <w:name w:val="Proposal"/>
    <w:basedOn w:val="Normal"/>
    <w:rsid w:val="00EB315E"/>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94101">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DD0A6-3A28-4F02-B442-6A1D55A8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2016-05-11T13:34:00Z</dcterms:created>
  <dcterms:modified xsi:type="dcterms:W3CDTF">2016-05-13T14:58:00Z</dcterms:modified>
</cp:coreProperties>
</file>